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CB" w:rsidRDefault="00E35BCB" w:rsidP="00E5762F">
      <w:pPr>
        <w:rPr>
          <w:rFonts w:ascii="Century Gothic" w:hAnsi="Century Gothic"/>
          <w:lang w:val="es-ES"/>
        </w:rPr>
      </w:pPr>
    </w:p>
    <w:p w:rsidR="00E35BCB" w:rsidRDefault="00E35BCB" w:rsidP="00E5762F">
      <w:pPr>
        <w:rPr>
          <w:rFonts w:ascii="Century Gothic" w:hAnsi="Century Gothic"/>
          <w:lang w:val="es-ES"/>
        </w:rPr>
      </w:pPr>
    </w:p>
    <w:p w:rsidR="00291ECD" w:rsidRDefault="008A294E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1C6463">
        <w:rPr>
          <w:rFonts w:ascii="Century Gothic" w:hAnsi="Century Gothic"/>
          <w:b/>
          <w:lang w:val="es-ES"/>
        </w:rPr>
        <w:t>REF.:</w:t>
      </w:r>
      <w:r>
        <w:rPr>
          <w:rFonts w:ascii="Century Gothic" w:hAnsi="Century Gothic"/>
          <w:lang w:val="es-ES"/>
        </w:rPr>
        <w:t xml:space="preserve"> </w:t>
      </w:r>
      <w:r w:rsidR="00825457">
        <w:rPr>
          <w:rFonts w:ascii="Century Gothic" w:hAnsi="Century Gothic"/>
          <w:lang w:val="es-ES"/>
        </w:rPr>
        <w:t>Informa</w:t>
      </w:r>
      <w:r w:rsidR="00DA4DE0">
        <w:rPr>
          <w:rFonts w:ascii="Century Gothic" w:hAnsi="Century Gothic"/>
          <w:lang w:val="es-ES"/>
        </w:rPr>
        <w:t xml:space="preserve"> </w:t>
      </w:r>
      <w:r w:rsidR="008975CD">
        <w:rPr>
          <w:rFonts w:ascii="Century Gothic" w:hAnsi="Century Gothic"/>
          <w:lang w:val="es-ES"/>
        </w:rPr>
        <w:t>lo que indica</w:t>
      </w:r>
      <w:r w:rsidR="009E68AF">
        <w:rPr>
          <w:rFonts w:ascii="Century Gothic" w:hAnsi="Century Gothic"/>
          <w:lang w:val="es-ES"/>
        </w:rPr>
        <w:t>.</w:t>
      </w:r>
    </w:p>
    <w:p w:rsidR="00291ECD" w:rsidRDefault="00291ECD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23437D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 xml:space="preserve">, </w:t>
      </w:r>
      <w:r w:rsidR="00825457">
        <w:rPr>
          <w:rFonts w:ascii="Century Gothic" w:hAnsi="Century Gothic"/>
          <w:lang w:val="es-ES"/>
        </w:rPr>
        <w:t>30</w:t>
      </w:r>
      <w:r>
        <w:rPr>
          <w:rFonts w:ascii="Century Gothic" w:hAnsi="Century Gothic"/>
          <w:lang w:val="es-ES"/>
        </w:rPr>
        <w:t xml:space="preserve"> de </w:t>
      </w:r>
      <w:r w:rsidR="00483BB6">
        <w:rPr>
          <w:rFonts w:ascii="Century Gothic" w:hAnsi="Century Gothic"/>
          <w:lang w:val="es-ES"/>
        </w:rPr>
        <w:t>mayo</w:t>
      </w:r>
      <w:r w:rsidR="008A76C8">
        <w:rPr>
          <w:rFonts w:ascii="Century Gothic" w:hAnsi="Century Gothic"/>
          <w:lang w:val="es-ES"/>
        </w:rPr>
        <w:t xml:space="preserve"> de </w:t>
      </w:r>
      <w:r>
        <w:rPr>
          <w:rFonts w:ascii="Century Gothic" w:hAnsi="Century Gothic"/>
          <w:lang w:val="es-ES"/>
        </w:rPr>
        <w:t>2012.-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b/>
          <w:lang w:val="es-ES"/>
        </w:rPr>
      </w:pPr>
    </w:p>
    <w:p w:rsidR="00E35BCB" w:rsidRDefault="00E35BCB" w:rsidP="00E5762F">
      <w:pPr>
        <w:rPr>
          <w:rFonts w:ascii="Century Gothic" w:hAnsi="Century Gothic"/>
          <w:b/>
          <w:lang w:val="es-ES"/>
        </w:rPr>
      </w:pPr>
    </w:p>
    <w:p w:rsidR="00E5762F" w:rsidRDefault="00E5762F" w:rsidP="00E5762F">
      <w:pPr>
        <w:rPr>
          <w:rFonts w:ascii="Century Gothic" w:hAnsi="Century Gothic"/>
          <w:b/>
          <w:lang w:val="es-ES"/>
        </w:rPr>
      </w:pPr>
      <w:r w:rsidRPr="0023437D">
        <w:rPr>
          <w:rFonts w:ascii="Century Gothic" w:hAnsi="Century Gothic"/>
          <w:b/>
          <w:lang w:val="es-ES"/>
        </w:rPr>
        <w:t>Sr</w:t>
      </w:r>
      <w:r w:rsidR="00825457">
        <w:rPr>
          <w:rFonts w:ascii="Century Gothic" w:hAnsi="Century Gothic"/>
          <w:b/>
          <w:lang w:val="es-ES"/>
        </w:rPr>
        <w:t>as</w:t>
      </w:r>
      <w:r w:rsidRPr="0023437D">
        <w:rPr>
          <w:rFonts w:ascii="Century Gothic" w:hAnsi="Century Gothic"/>
          <w:b/>
          <w:lang w:val="es-ES"/>
        </w:rPr>
        <w:t>.</w:t>
      </w:r>
      <w:r w:rsidR="00825457">
        <w:rPr>
          <w:rFonts w:ascii="Century Gothic" w:hAnsi="Century Gothic"/>
          <w:b/>
          <w:lang w:val="es-ES"/>
        </w:rPr>
        <w:t xml:space="preserve"> Sres.</w:t>
      </w:r>
    </w:p>
    <w:p w:rsidR="00863684" w:rsidRDefault="00825457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Dirigentes y Socios de Organizaciones Comunitarias</w:t>
      </w:r>
      <w:r w:rsidR="00863684">
        <w:rPr>
          <w:rFonts w:ascii="Century Gothic" w:hAnsi="Century Gothic"/>
          <w:b/>
          <w:lang w:val="es-ES"/>
        </w:rPr>
        <w:t xml:space="preserve"> de </w:t>
      </w:r>
    </w:p>
    <w:p w:rsidR="00863684" w:rsidRDefault="00863684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Casablanca</w:t>
      </w:r>
    </w:p>
    <w:p w:rsidR="00E5762F" w:rsidRPr="003A41A8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P</w:t>
      </w:r>
      <w:r w:rsidRPr="003A41A8">
        <w:rPr>
          <w:rFonts w:ascii="Century Gothic" w:hAnsi="Century Gothic"/>
          <w:b/>
          <w:lang w:val="es-ES"/>
        </w:rPr>
        <w:t>resente</w:t>
      </w:r>
    </w:p>
    <w:p w:rsidR="001C6463" w:rsidRDefault="001C6463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De </w:t>
      </w:r>
      <w:r w:rsidR="00825457">
        <w:rPr>
          <w:rFonts w:ascii="Century Gothic" w:hAnsi="Century Gothic"/>
          <w:lang w:val="es-ES"/>
        </w:rPr>
        <w:t xml:space="preserve">mi </w:t>
      </w:r>
      <w:r>
        <w:rPr>
          <w:rFonts w:ascii="Century Gothic" w:hAnsi="Century Gothic"/>
          <w:lang w:val="es-ES"/>
        </w:rPr>
        <w:t>consideración: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8D13A0" w:rsidRDefault="00825457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Con el objeto de mantener informados a l</w:t>
      </w:r>
      <w:r w:rsidR="008975CD">
        <w:rPr>
          <w:rFonts w:ascii="Century Gothic" w:hAnsi="Century Gothic"/>
          <w:lang w:val="es-ES"/>
        </w:rPr>
        <w:t xml:space="preserve">as Sras. </w:t>
      </w:r>
      <w:proofErr w:type="gramStart"/>
      <w:r w:rsidR="008975CD">
        <w:rPr>
          <w:rFonts w:ascii="Century Gothic" w:hAnsi="Century Gothic"/>
          <w:lang w:val="es-ES"/>
        </w:rPr>
        <w:t>y</w:t>
      </w:r>
      <w:proofErr w:type="gramEnd"/>
      <w:r>
        <w:rPr>
          <w:rFonts w:ascii="Century Gothic" w:hAnsi="Century Gothic"/>
          <w:lang w:val="es-ES"/>
        </w:rPr>
        <w:t xml:space="preserve"> </w:t>
      </w:r>
      <w:r w:rsidR="008975CD">
        <w:rPr>
          <w:rFonts w:ascii="Century Gothic" w:hAnsi="Century Gothic"/>
          <w:lang w:val="es-ES"/>
        </w:rPr>
        <w:t xml:space="preserve">Sres. </w:t>
      </w:r>
      <w:r>
        <w:rPr>
          <w:rFonts w:ascii="Century Gothic" w:hAnsi="Century Gothic"/>
          <w:lang w:val="es-ES"/>
        </w:rPr>
        <w:t xml:space="preserve">Dirigentes </w:t>
      </w:r>
      <w:r w:rsidR="008975CD">
        <w:rPr>
          <w:rFonts w:ascii="Century Gothic" w:hAnsi="Century Gothic"/>
          <w:lang w:val="es-ES"/>
        </w:rPr>
        <w:t>y</w:t>
      </w:r>
      <w:r>
        <w:rPr>
          <w:rFonts w:ascii="Century Gothic" w:hAnsi="Century Gothic"/>
          <w:lang w:val="es-ES"/>
        </w:rPr>
        <w:t xml:space="preserve"> Socios de las Organizaciones Comunitarias de Casablanca</w:t>
      </w:r>
      <w:r w:rsidR="008B1978">
        <w:rPr>
          <w:rFonts w:ascii="Century Gothic" w:hAnsi="Century Gothic"/>
          <w:lang w:val="es-ES"/>
        </w:rPr>
        <w:t xml:space="preserve">, es un deber recordarles </w:t>
      </w:r>
      <w:r w:rsidR="00DA4DE0">
        <w:rPr>
          <w:rFonts w:ascii="Century Gothic" w:hAnsi="Century Gothic"/>
          <w:lang w:val="es-ES"/>
        </w:rPr>
        <w:t>que</w:t>
      </w:r>
      <w:r w:rsidR="008B1978">
        <w:rPr>
          <w:rFonts w:ascii="Century Gothic" w:hAnsi="Century Gothic"/>
          <w:lang w:val="es-ES"/>
        </w:rPr>
        <w:t xml:space="preserve"> dichas organizaciones se rigen por la </w:t>
      </w:r>
      <w:r w:rsidR="008B1978" w:rsidRPr="00371B14">
        <w:rPr>
          <w:rFonts w:ascii="Century Gothic" w:hAnsi="Century Gothic"/>
          <w:b/>
          <w:lang w:val="es-ES"/>
        </w:rPr>
        <w:t>L</w:t>
      </w:r>
      <w:r w:rsidR="00DA4DE0">
        <w:rPr>
          <w:rFonts w:ascii="Century Gothic" w:hAnsi="Century Gothic"/>
          <w:b/>
          <w:lang w:val="es-ES"/>
        </w:rPr>
        <w:t>EY</w:t>
      </w:r>
      <w:r w:rsidR="008B1978" w:rsidRPr="00371B14">
        <w:rPr>
          <w:rFonts w:ascii="Century Gothic" w:hAnsi="Century Gothic"/>
          <w:b/>
          <w:lang w:val="es-ES"/>
        </w:rPr>
        <w:t xml:space="preserve"> 19.418 S</w:t>
      </w:r>
      <w:r w:rsidR="00DA4DE0">
        <w:rPr>
          <w:rFonts w:ascii="Century Gothic" w:hAnsi="Century Gothic"/>
          <w:b/>
          <w:lang w:val="es-ES"/>
        </w:rPr>
        <w:t>OBRE</w:t>
      </w:r>
      <w:r w:rsidR="008B1978" w:rsidRPr="00371B14">
        <w:rPr>
          <w:rFonts w:ascii="Century Gothic" w:hAnsi="Century Gothic"/>
          <w:b/>
          <w:lang w:val="es-ES"/>
        </w:rPr>
        <w:t xml:space="preserve"> J</w:t>
      </w:r>
      <w:r w:rsidR="00DA4DE0">
        <w:rPr>
          <w:rFonts w:ascii="Century Gothic" w:hAnsi="Century Gothic"/>
          <w:b/>
          <w:lang w:val="es-ES"/>
        </w:rPr>
        <w:t>UNTAS DE</w:t>
      </w:r>
      <w:r w:rsidR="008B1978" w:rsidRPr="00371B14">
        <w:rPr>
          <w:rFonts w:ascii="Century Gothic" w:hAnsi="Century Gothic"/>
          <w:b/>
          <w:lang w:val="es-ES"/>
        </w:rPr>
        <w:t xml:space="preserve"> V</w:t>
      </w:r>
      <w:r w:rsidR="00DA4DE0">
        <w:rPr>
          <w:rFonts w:ascii="Century Gothic" w:hAnsi="Century Gothic"/>
          <w:b/>
          <w:lang w:val="es-ES"/>
        </w:rPr>
        <w:t xml:space="preserve">ECINOS Y DEMAS </w:t>
      </w:r>
      <w:r w:rsidR="008B1978" w:rsidRPr="00371B14">
        <w:rPr>
          <w:rFonts w:ascii="Century Gothic" w:hAnsi="Century Gothic"/>
          <w:b/>
          <w:lang w:val="es-ES"/>
        </w:rPr>
        <w:t>O</w:t>
      </w:r>
      <w:r w:rsidR="00DA4DE0">
        <w:rPr>
          <w:rFonts w:ascii="Century Gothic" w:hAnsi="Century Gothic"/>
          <w:b/>
          <w:lang w:val="es-ES"/>
        </w:rPr>
        <w:t>RGANIZACIONES COMUNITARIAS</w:t>
      </w:r>
      <w:r w:rsidR="00371B14">
        <w:rPr>
          <w:rFonts w:ascii="Century Gothic" w:hAnsi="Century Gothic"/>
          <w:b/>
          <w:lang w:val="es-ES"/>
        </w:rPr>
        <w:t xml:space="preserve"> </w:t>
      </w:r>
      <w:r w:rsidR="00371B14" w:rsidRPr="00371B14">
        <w:rPr>
          <w:rFonts w:ascii="Century Gothic" w:hAnsi="Century Gothic"/>
          <w:lang w:val="es-ES"/>
        </w:rPr>
        <w:t xml:space="preserve">y por los Estatutos </w:t>
      </w:r>
      <w:r w:rsidR="008D13A0">
        <w:rPr>
          <w:rFonts w:ascii="Century Gothic" w:hAnsi="Century Gothic"/>
          <w:lang w:val="es-ES"/>
        </w:rPr>
        <w:t>respectivos</w:t>
      </w:r>
      <w:r w:rsidR="00863684">
        <w:rPr>
          <w:rFonts w:ascii="Century Gothic" w:hAnsi="Century Gothic"/>
          <w:lang w:val="es-ES"/>
        </w:rPr>
        <w:t>; por lo cual transcribo a Uds.</w:t>
      </w:r>
      <w:r w:rsidR="00576BC1">
        <w:rPr>
          <w:rFonts w:ascii="Century Gothic" w:hAnsi="Century Gothic"/>
          <w:lang w:val="es-ES"/>
        </w:rPr>
        <w:t>,</w:t>
      </w:r>
      <w:r w:rsidR="00863684">
        <w:rPr>
          <w:rFonts w:ascii="Century Gothic" w:hAnsi="Century Gothic"/>
          <w:lang w:val="es-ES"/>
        </w:rPr>
        <w:t xml:space="preserve"> algunos aspectos importantes señalados en esta Ley</w:t>
      </w:r>
      <w:r w:rsidR="008D13A0">
        <w:rPr>
          <w:rFonts w:ascii="Century Gothic" w:hAnsi="Century Gothic"/>
          <w:lang w:val="es-ES"/>
        </w:rPr>
        <w:t>.</w:t>
      </w:r>
      <w:r w:rsidR="0003027F">
        <w:rPr>
          <w:rFonts w:ascii="Century Gothic" w:hAnsi="Century Gothic"/>
          <w:lang w:val="es-ES"/>
        </w:rPr>
        <w:t xml:space="preserve"> </w:t>
      </w:r>
    </w:p>
    <w:p w:rsidR="0003027F" w:rsidRDefault="0003027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El texto completo de la Ley 19.418, se encuentra disponible en la página web municipal; </w:t>
      </w:r>
      <w:hyperlink r:id="rId7" w:history="1">
        <w:r w:rsidRPr="00BC7BEC">
          <w:rPr>
            <w:rStyle w:val="Hipervnculo"/>
            <w:rFonts w:ascii="Century Gothic" w:hAnsi="Century Gothic"/>
            <w:lang w:val="es-ES"/>
          </w:rPr>
          <w:t>www.e-casablanca.cl</w:t>
        </w:r>
      </w:hyperlink>
      <w:r>
        <w:rPr>
          <w:rFonts w:ascii="Century Gothic" w:hAnsi="Century Gothic"/>
          <w:lang w:val="es-ES"/>
        </w:rPr>
        <w:t xml:space="preserve">, en la página web del Congreso Nacional: </w:t>
      </w:r>
      <w:hyperlink r:id="rId8" w:history="1">
        <w:r w:rsidRPr="00BC7BEC">
          <w:rPr>
            <w:rStyle w:val="Hipervnculo"/>
            <w:rFonts w:ascii="Century Gothic" w:hAnsi="Century Gothic"/>
            <w:lang w:val="es-ES"/>
          </w:rPr>
          <w:t>www.congreso.cl</w:t>
        </w:r>
      </w:hyperlink>
      <w:r>
        <w:rPr>
          <w:rFonts w:ascii="Century Gothic" w:hAnsi="Century Gothic"/>
          <w:lang w:val="es-ES"/>
        </w:rPr>
        <w:t>, y también puede ser solicitado en formato digital</w:t>
      </w:r>
      <w:r w:rsidR="00D75496">
        <w:rPr>
          <w:rFonts w:ascii="Century Gothic" w:hAnsi="Century Gothic"/>
          <w:lang w:val="es-ES"/>
        </w:rPr>
        <w:t>,</w:t>
      </w:r>
      <w:r>
        <w:rPr>
          <w:rFonts w:ascii="Century Gothic" w:hAnsi="Century Gothic"/>
          <w:lang w:val="es-ES"/>
        </w:rPr>
        <w:t xml:space="preserve"> a la oficina de Organizaciones Comunitarias</w:t>
      </w:r>
      <w:r w:rsidR="00D75496">
        <w:rPr>
          <w:rFonts w:ascii="Century Gothic" w:hAnsi="Century Gothic"/>
          <w:lang w:val="es-ES"/>
        </w:rPr>
        <w:t xml:space="preserve"> del municipio que está a cargo la Sicóloga, Sra. Pastora Valderrama Vásquez, correo: </w:t>
      </w:r>
      <w:hyperlink r:id="rId9" w:history="1">
        <w:r w:rsidR="00D75496" w:rsidRPr="00BC7BEC">
          <w:rPr>
            <w:rStyle w:val="Hipervnculo"/>
            <w:rFonts w:ascii="Century Gothic" w:hAnsi="Century Gothic"/>
            <w:lang w:val="es-ES"/>
          </w:rPr>
          <w:t>pvalderramav@e-casablanca.cl</w:t>
        </w:r>
      </w:hyperlink>
      <w:r w:rsidR="00D75496">
        <w:rPr>
          <w:rFonts w:ascii="Century Gothic" w:hAnsi="Century Gothic"/>
          <w:lang w:val="es-ES"/>
        </w:rPr>
        <w:t xml:space="preserve">, o al teléfono 2277471. </w:t>
      </w:r>
      <w:r>
        <w:rPr>
          <w:rFonts w:ascii="Century Gothic" w:hAnsi="Century Gothic"/>
          <w:lang w:val="es-ES"/>
        </w:rPr>
        <w:t xml:space="preserve">    </w:t>
      </w:r>
    </w:p>
    <w:p w:rsidR="00DA4DE0" w:rsidRDefault="00DA4DE0" w:rsidP="00E5762F">
      <w:pPr>
        <w:rPr>
          <w:rFonts w:ascii="Century Gothic" w:hAnsi="Century Gothic"/>
          <w:b/>
          <w:lang w:val="es-ES"/>
        </w:rPr>
      </w:pPr>
    </w:p>
    <w:p w:rsidR="00825457" w:rsidRPr="00FA0139" w:rsidRDefault="00B16208" w:rsidP="00E5762F">
      <w:pPr>
        <w:rPr>
          <w:rFonts w:ascii="Century Gothic" w:hAnsi="Century Gothic"/>
          <w:b/>
          <w:lang w:val="es-ES"/>
        </w:rPr>
      </w:pPr>
      <w:r w:rsidRPr="00FA0139">
        <w:rPr>
          <w:rFonts w:ascii="Century Gothic" w:hAnsi="Century Gothic"/>
          <w:b/>
          <w:lang w:val="es-ES"/>
        </w:rPr>
        <w:t>Algunos aspectos importantes señalados en la Ley</w:t>
      </w:r>
      <w:r w:rsidR="005D3C0D" w:rsidRPr="00FA0139">
        <w:rPr>
          <w:rFonts w:ascii="Century Gothic" w:hAnsi="Century Gothic"/>
          <w:b/>
          <w:lang w:val="es-ES"/>
        </w:rPr>
        <w:t xml:space="preserve"> </w:t>
      </w:r>
      <w:proofErr w:type="gramStart"/>
      <w:r w:rsidR="005D3C0D" w:rsidRPr="00FA0139">
        <w:rPr>
          <w:rFonts w:ascii="Century Gothic" w:hAnsi="Century Gothic"/>
          <w:b/>
          <w:lang w:val="es-ES"/>
        </w:rPr>
        <w:t xml:space="preserve">19.418 </w:t>
      </w:r>
      <w:r w:rsidRPr="00FA0139">
        <w:rPr>
          <w:rFonts w:ascii="Century Gothic" w:hAnsi="Century Gothic"/>
          <w:b/>
          <w:lang w:val="es-ES"/>
        </w:rPr>
        <w:t>:</w:t>
      </w:r>
      <w:proofErr w:type="gramEnd"/>
    </w:p>
    <w:p w:rsidR="00FA0139" w:rsidRDefault="00FA0139" w:rsidP="00E5762F">
      <w:pPr>
        <w:rPr>
          <w:rFonts w:ascii="Century Gothic" w:hAnsi="Century Gothic"/>
          <w:b/>
          <w:lang w:val="es-ES"/>
        </w:rPr>
      </w:pPr>
    </w:p>
    <w:p w:rsidR="00B16208" w:rsidRPr="005D3C0D" w:rsidRDefault="005D3C0D" w:rsidP="00E5762F">
      <w:pPr>
        <w:rPr>
          <w:rFonts w:ascii="Century Gothic" w:hAnsi="Century Gothic"/>
          <w:b/>
          <w:lang w:val="es-ES"/>
        </w:rPr>
      </w:pPr>
      <w:r w:rsidRPr="005D3C0D">
        <w:rPr>
          <w:rFonts w:ascii="Century Gothic" w:hAnsi="Century Gothic"/>
          <w:b/>
          <w:lang w:val="es-ES"/>
        </w:rPr>
        <w:t xml:space="preserve">De los Derechos y Obligaciones </w:t>
      </w:r>
    </w:p>
    <w:p w:rsidR="00E35BCB" w:rsidRDefault="00E35BCB" w:rsidP="00E5762F">
      <w:pPr>
        <w:rPr>
          <w:rFonts w:ascii="Century Gothic" w:hAnsi="Century Gothic"/>
          <w:b/>
          <w:lang w:val="es-ES"/>
        </w:rPr>
      </w:pPr>
    </w:p>
    <w:p w:rsidR="005D3C0D" w:rsidRDefault="005D3C0D" w:rsidP="00E5762F">
      <w:pPr>
        <w:rPr>
          <w:rFonts w:ascii="Century Gothic" w:hAnsi="Century Gothic"/>
          <w:lang w:val="es-ES"/>
        </w:rPr>
      </w:pPr>
      <w:r w:rsidRPr="005D3C0D">
        <w:rPr>
          <w:rFonts w:ascii="Century Gothic" w:hAnsi="Century Gothic"/>
          <w:b/>
          <w:lang w:val="es-ES"/>
        </w:rPr>
        <w:t>Artículo 12:</w:t>
      </w:r>
      <w:r>
        <w:rPr>
          <w:rFonts w:ascii="Century Gothic" w:hAnsi="Century Gothic"/>
          <w:lang w:val="es-ES"/>
        </w:rPr>
        <w:t xml:space="preserve"> Los miembros de las juntas de vecinos y de las demás organizaciones comunitarias tendrán lo</w:t>
      </w:r>
      <w:r w:rsidR="00576BC1">
        <w:rPr>
          <w:rFonts w:ascii="Century Gothic" w:hAnsi="Century Gothic"/>
          <w:lang w:val="es-ES"/>
        </w:rPr>
        <w:t>s</w:t>
      </w:r>
      <w:r>
        <w:rPr>
          <w:rFonts w:ascii="Century Gothic" w:hAnsi="Century Gothic"/>
          <w:lang w:val="es-ES"/>
        </w:rPr>
        <w:t xml:space="preserve"> siguientes derechos:</w:t>
      </w:r>
    </w:p>
    <w:p w:rsidR="005D3C0D" w:rsidRDefault="005D3C0D" w:rsidP="005D3C0D">
      <w:pPr>
        <w:pStyle w:val="Prrafodelista"/>
        <w:numPr>
          <w:ilvl w:val="0"/>
          <w:numId w:val="2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Participar en las asambleas que se lleven a efecto, con derecho a voz y voto. El voto será unipersonal e indelegable;</w:t>
      </w:r>
    </w:p>
    <w:p w:rsidR="005D3C0D" w:rsidRDefault="005D3C0D" w:rsidP="005D3C0D">
      <w:pPr>
        <w:pStyle w:val="Prrafodelista"/>
        <w:numPr>
          <w:ilvl w:val="0"/>
          <w:numId w:val="2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Elegir y poder ser elegido en los cargos representativos de la organización;</w:t>
      </w:r>
    </w:p>
    <w:p w:rsidR="00A91989" w:rsidRDefault="005D3C0D" w:rsidP="00A91989">
      <w:pPr>
        <w:pStyle w:val="Prrafodelista"/>
        <w:numPr>
          <w:ilvl w:val="0"/>
          <w:numId w:val="2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Presentar cualquier iniciativa, proyecto o proposición de estudio al directorio. Si esta iniciativa es patrocinada por el diez por ciento de los afiliados, a lo menos, el directorio deberá someter</w:t>
      </w:r>
      <w:r w:rsidR="00A91989">
        <w:rPr>
          <w:rFonts w:ascii="Century Gothic" w:hAnsi="Century Gothic"/>
          <w:lang w:val="es-ES"/>
        </w:rPr>
        <w:t>la a la consideración de la asamblea para su aprobación o rechazo;</w:t>
      </w:r>
    </w:p>
    <w:p w:rsidR="00A91989" w:rsidRDefault="00A91989" w:rsidP="00A91989">
      <w:pPr>
        <w:pStyle w:val="Prrafodelista"/>
        <w:numPr>
          <w:ilvl w:val="0"/>
          <w:numId w:val="2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Tener acceso a los libros de actas, de contabilidad de la organización y de registro de afiliados., y</w:t>
      </w:r>
    </w:p>
    <w:p w:rsidR="00A91989" w:rsidRDefault="00A91989" w:rsidP="00A91989">
      <w:pPr>
        <w:pStyle w:val="Prrafodelista"/>
        <w:numPr>
          <w:ilvl w:val="0"/>
          <w:numId w:val="2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Proponer censura a cualquiera de los miembros del directorio, en conformidad con lo dispuesto en la letra d) del </w:t>
      </w:r>
      <w:r w:rsidR="00FA0139">
        <w:rPr>
          <w:rFonts w:ascii="Century Gothic" w:hAnsi="Century Gothic"/>
          <w:lang w:val="es-ES"/>
        </w:rPr>
        <w:t>a</w:t>
      </w:r>
      <w:r>
        <w:rPr>
          <w:rFonts w:ascii="Century Gothic" w:hAnsi="Century Gothic"/>
          <w:lang w:val="es-ES"/>
        </w:rPr>
        <w:t>rtículo 24.</w:t>
      </w:r>
    </w:p>
    <w:p w:rsidR="00A91989" w:rsidRPr="009F5F98" w:rsidRDefault="009F5F98" w:rsidP="009F5F98">
      <w:pPr>
        <w:rPr>
          <w:rFonts w:ascii="Century Gothic" w:hAnsi="Century Gothic"/>
          <w:lang w:val="es-ES"/>
        </w:rPr>
      </w:pPr>
      <w:r w:rsidRPr="009F5F98">
        <w:rPr>
          <w:rFonts w:ascii="Century Gothic" w:hAnsi="Century Gothic"/>
          <w:b/>
          <w:lang w:val="es-ES"/>
        </w:rPr>
        <w:t>Nota</w:t>
      </w:r>
      <w:r>
        <w:rPr>
          <w:rFonts w:ascii="Century Gothic" w:hAnsi="Century Gothic"/>
          <w:b/>
          <w:lang w:val="es-ES"/>
        </w:rPr>
        <w:t xml:space="preserve"> 1</w:t>
      </w:r>
      <w:r w:rsidRPr="009F5F98">
        <w:rPr>
          <w:rFonts w:ascii="Century Gothic" w:hAnsi="Century Gothic"/>
          <w:b/>
          <w:lang w:val="es-ES"/>
        </w:rPr>
        <w:t>:</w:t>
      </w:r>
      <w:r>
        <w:rPr>
          <w:rFonts w:ascii="Century Gothic" w:hAnsi="Century Gothic"/>
          <w:lang w:val="es-ES"/>
        </w:rPr>
        <w:t xml:space="preserve"> La letra d) del Artículo 24 señala: “Por censura acordada por los dos tercios de los miembros presentes en asamblea extraordinaria especialmente convocada al efecto.”</w:t>
      </w:r>
    </w:p>
    <w:p w:rsidR="005D3C0D" w:rsidRDefault="009F5F98" w:rsidP="00E5762F">
      <w:pPr>
        <w:rPr>
          <w:rFonts w:ascii="Century Gothic" w:hAnsi="Century Gothic"/>
          <w:lang w:val="es-ES"/>
        </w:rPr>
      </w:pPr>
      <w:r w:rsidRPr="00FA0139">
        <w:rPr>
          <w:rFonts w:ascii="Century Gothic" w:hAnsi="Century Gothic"/>
          <w:b/>
          <w:lang w:val="es-ES"/>
        </w:rPr>
        <w:lastRenderedPageBreak/>
        <w:t>Nota 2:</w:t>
      </w:r>
      <w:r>
        <w:rPr>
          <w:rFonts w:ascii="Century Gothic" w:hAnsi="Century Gothic"/>
          <w:lang w:val="es-ES"/>
        </w:rPr>
        <w:t xml:space="preserve"> El inciso final del Artículo 24 señala: “Será motivo de censura la transgresión por los dirigentes de cualesquiera de los deberes que esta Ley les impone, como asimismo los derechos establecidos en el artículo 12.</w:t>
      </w:r>
      <w:r w:rsidR="00FA0139">
        <w:rPr>
          <w:rFonts w:ascii="Century Gothic" w:hAnsi="Century Gothic"/>
          <w:lang w:val="es-ES"/>
        </w:rPr>
        <w:t>”</w:t>
      </w:r>
    </w:p>
    <w:p w:rsidR="00FA0139" w:rsidRDefault="00FA0139" w:rsidP="00E5762F">
      <w:pPr>
        <w:rPr>
          <w:rFonts w:ascii="Century Gothic" w:hAnsi="Century Gothic"/>
          <w:lang w:val="es-ES"/>
        </w:rPr>
      </w:pPr>
    </w:p>
    <w:p w:rsidR="00B16208" w:rsidRDefault="00FA0139" w:rsidP="00E5762F">
      <w:pPr>
        <w:rPr>
          <w:rFonts w:ascii="Century Gothic" w:hAnsi="Century Gothic"/>
          <w:lang w:val="es-ES"/>
        </w:rPr>
      </w:pPr>
      <w:r w:rsidRPr="00F07FCC">
        <w:rPr>
          <w:rFonts w:ascii="Century Gothic" w:hAnsi="Century Gothic"/>
          <w:b/>
          <w:lang w:val="es-ES"/>
        </w:rPr>
        <w:t>Artículo 15:</w:t>
      </w:r>
      <w:r>
        <w:rPr>
          <w:rFonts w:ascii="Century Gothic" w:hAnsi="Century Gothic"/>
          <w:lang w:val="es-ES"/>
        </w:rPr>
        <w:t xml:space="preserve"> Cada junta de vecinos  y demás organizaciones comunitarias deberá llevar un registro público de todos sus afiliados</w:t>
      </w:r>
      <w:r w:rsidR="002F3062">
        <w:rPr>
          <w:rFonts w:ascii="Century Gothic" w:hAnsi="Century Gothic"/>
          <w:lang w:val="es-ES"/>
        </w:rPr>
        <w:t>, en la forma y condiciones que determinen sus estatutos. Este registro se mantendrá en la sede comunitaria a disposición de cualquier vecino que desee consultarlo y estará a cargo del secretario de la organización. A falta de sede, esta obligación deberá cumplirla el secretario en su domicilio.</w:t>
      </w:r>
    </w:p>
    <w:p w:rsidR="002F3062" w:rsidRDefault="002F3062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En ambos casos, será el propio secretario quién fijará y dará a conocer los días y horas de atención, en forma tal que asegure el acceso de los vecinos interesados. Durante dicho horario, no podrá negarse la información, considerándose falta grave impedir u obstaculizar el acceso</w:t>
      </w:r>
      <w:r w:rsidR="00F07FCC">
        <w:rPr>
          <w:rFonts w:ascii="Century Gothic" w:hAnsi="Century Gothic"/>
          <w:lang w:val="es-ES"/>
        </w:rPr>
        <w:t xml:space="preserve"> a este registro, lo cual deberá sancionarse en conformidad con los estatutos. Una copia actualizada y autorizada de este registro deberá ser entregada al Secretario Municipal en el mes de marzo de cada año y a los representantes de las diferentes candidaturas en elecciones de las juntas de vecinos al renovar sus directivas, por lo menos con un mes de anticipación y con cargo a los interesados.</w:t>
      </w:r>
    </w:p>
    <w:p w:rsidR="00F07FCC" w:rsidRDefault="00F07FCC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Sin perjuicio de lo dispuesto en los incisos anteriores, cada junta de vecinos deberá remitir al Secretario Municipal respectivo</w:t>
      </w:r>
      <w:r w:rsidR="00C43433">
        <w:rPr>
          <w:rFonts w:ascii="Century Gothic" w:hAnsi="Century Gothic"/>
          <w:lang w:val="es-ES"/>
        </w:rPr>
        <w:t>, cada seis meses, certificación de las nuevas incorporaciones o retiros del registro de asociados.</w:t>
      </w:r>
    </w:p>
    <w:p w:rsidR="00825457" w:rsidRDefault="00825457" w:rsidP="008A76C8">
      <w:pPr>
        <w:rPr>
          <w:rFonts w:ascii="Century Gothic" w:hAnsi="Century Gothic"/>
          <w:lang w:val="es-ES"/>
        </w:rPr>
      </w:pPr>
    </w:p>
    <w:p w:rsidR="00DA4DE0" w:rsidRPr="00DA4DE0" w:rsidRDefault="00DA4DE0" w:rsidP="008A76C8">
      <w:pPr>
        <w:rPr>
          <w:rFonts w:ascii="Century Gothic" w:hAnsi="Century Gothic"/>
          <w:b/>
          <w:lang w:val="es-ES"/>
        </w:rPr>
      </w:pPr>
      <w:r w:rsidRPr="00DA4DE0">
        <w:rPr>
          <w:rFonts w:ascii="Century Gothic" w:hAnsi="Century Gothic"/>
          <w:b/>
          <w:lang w:val="es-ES"/>
        </w:rPr>
        <w:t>Del Directorio</w:t>
      </w:r>
    </w:p>
    <w:p w:rsidR="00E35BCB" w:rsidRDefault="00E35BCB" w:rsidP="008A76C8">
      <w:pPr>
        <w:rPr>
          <w:rFonts w:ascii="Century Gothic" w:hAnsi="Century Gothic"/>
          <w:b/>
          <w:lang w:val="es-ES"/>
        </w:rPr>
      </w:pPr>
    </w:p>
    <w:p w:rsidR="00C43433" w:rsidRDefault="00C43433" w:rsidP="008A76C8">
      <w:pPr>
        <w:rPr>
          <w:rFonts w:ascii="Century Gothic" w:hAnsi="Century Gothic"/>
          <w:lang w:val="es-ES"/>
        </w:rPr>
      </w:pPr>
      <w:r w:rsidRPr="000606D7">
        <w:rPr>
          <w:rFonts w:ascii="Century Gothic" w:hAnsi="Century Gothic"/>
          <w:b/>
          <w:lang w:val="es-ES"/>
        </w:rPr>
        <w:t>Artículo 19:</w:t>
      </w:r>
      <w:r>
        <w:rPr>
          <w:rFonts w:ascii="Century Gothic" w:hAnsi="Century Gothic"/>
          <w:lang w:val="es-ES"/>
        </w:rPr>
        <w:t xml:space="preserve"> Las organizaciones comunitarias serán dirigidas y administradas por un directorio compuesto, a lo menos por tres miembros titulares</w:t>
      </w:r>
      <w:r w:rsidR="00B112E3">
        <w:rPr>
          <w:rFonts w:ascii="Century Gothic" w:hAnsi="Century Gothic"/>
          <w:lang w:val="es-ES"/>
        </w:rPr>
        <w:t>, elegidos en votación directa, secreta e informada, por un período de tres años, en una asamblea general ordinaria, pudiendo ser reelegidos.</w:t>
      </w:r>
    </w:p>
    <w:p w:rsidR="000606D7" w:rsidRDefault="000606D7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En el mismo acto se elegirá igual número de miembros suplentes, los que, ordenados según la votación obtenida por cada uno de ellos de manera decreciente, suplirán al o a los miembro titulares que se encuentre</w:t>
      </w:r>
      <w:r w:rsidR="00FB60BB">
        <w:rPr>
          <w:rFonts w:ascii="Century Gothic" w:hAnsi="Century Gothic"/>
          <w:lang w:val="es-ES"/>
        </w:rPr>
        <w:t>n</w:t>
      </w:r>
      <w:r>
        <w:rPr>
          <w:rFonts w:ascii="Century Gothic" w:hAnsi="Century Gothic"/>
          <w:lang w:val="es-ES"/>
        </w:rPr>
        <w:t xml:space="preserve"> temporalmente impedidos de desempeñar sus funciones, mientras dure tal imposibilidad, o los reemplazarán cuando, por fallecimiento, inhabilidad sobreviniente, imposibilidad u otra causa legal, no pudieran continuar en el desempeño de sus funciones.</w:t>
      </w:r>
    </w:p>
    <w:p w:rsidR="000606D7" w:rsidRDefault="000606D7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Sobre la base del número mínimo previsto en el inciso</w:t>
      </w:r>
      <w:r w:rsidR="0049154E">
        <w:rPr>
          <w:rFonts w:ascii="Century Gothic" w:hAnsi="Century Gothic"/>
          <w:lang w:val="es-ES"/>
        </w:rPr>
        <w:t xml:space="preserve"> primero, el directorio se integrará con los cargos que contemplen los estatutos, entre los que deberán considerarse necesariamente los de presidente, secretario y tesorero.</w:t>
      </w:r>
    </w:p>
    <w:p w:rsidR="0049154E" w:rsidRDefault="0049154E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No podrán ser parte del directorio de las organizaciones comunitarias territoriales y funcionales los alcaldes, los concejales y los funcionarios municipales</w:t>
      </w:r>
      <w:r w:rsidR="00CB14F0">
        <w:rPr>
          <w:rFonts w:ascii="Century Gothic" w:hAnsi="Century Gothic"/>
          <w:lang w:val="es-ES"/>
        </w:rPr>
        <w:t xml:space="preserve"> que ejerzan cargos e jefatura administrativa de la respectiva municipalidad, mientras dure su mandato.</w:t>
      </w:r>
    </w:p>
    <w:p w:rsidR="00CB14F0" w:rsidRDefault="00CB14F0" w:rsidP="008A76C8">
      <w:pPr>
        <w:rPr>
          <w:rFonts w:ascii="Century Gothic" w:hAnsi="Century Gothic"/>
          <w:lang w:val="es-ES"/>
        </w:rPr>
      </w:pPr>
    </w:p>
    <w:p w:rsidR="00CB14F0" w:rsidRDefault="00CB14F0" w:rsidP="008A76C8">
      <w:pPr>
        <w:rPr>
          <w:rFonts w:ascii="Century Gothic" w:hAnsi="Century Gothic"/>
          <w:lang w:val="es-ES"/>
        </w:rPr>
      </w:pPr>
      <w:r w:rsidRPr="00CD7438">
        <w:rPr>
          <w:rFonts w:ascii="Century Gothic" w:hAnsi="Century Gothic"/>
          <w:b/>
          <w:lang w:val="es-ES"/>
        </w:rPr>
        <w:t>Artículo 22:</w:t>
      </w:r>
      <w:r>
        <w:rPr>
          <w:rFonts w:ascii="Century Gothic" w:hAnsi="Century Gothic"/>
          <w:lang w:val="es-ES"/>
        </w:rPr>
        <w:t xml:space="preserve"> Los bienes que conformen el patrimonio de cada junta de vecinos y de cada una de las demás organizaciones comunitarias, serán administrados por el presidente de los respectivos directorios, siendo éste civilmente responsable hasta de </w:t>
      </w:r>
      <w:r>
        <w:rPr>
          <w:rFonts w:ascii="Century Gothic" w:hAnsi="Century Gothic"/>
          <w:lang w:val="es-ES"/>
        </w:rPr>
        <w:lastRenderedPageBreak/>
        <w:t>la culpa leve en el desempeño de la mencionada administración, sin perjuicio de la responsabilidad penal que pudiere corresponderle</w:t>
      </w:r>
      <w:r w:rsidR="00CD7438">
        <w:rPr>
          <w:rFonts w:ascii="Century Gothic" w:hAnsi="Century Gothic"/>
          <w:lang w:val="es-ES"/>
        </w:rPr>
        <w:t>.</w:t>
      </w:r>
    </w:p>
    <w:p w:rsidR="00CD7438" w:rsidRDefault="00CD7438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Corresponderá especialmente al presidente del directorio, entre otras, las siguientes atribuciones:</w:t>
      </w:r>
    </w:p>
    <w:p w:rsidR="00B112E3" w:rsidRDefault="00CD7438" w:rsidP="00CD7438">
      <w:pPr>
        <w:pStyle w:val="Prrafodelista"/>
        <w:numPr>
          <w:ilvl w:val="0"/>
          <w:numId w:val="3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Citar a asamblea general ordinaria o extraordinaria;</w:t>
      </w:r>
    </w:p>
    <w:p w:rsidR="00CD7438" w:rsidRDefault="00CD7438" w:rsidP="00CD7438">
      <w:pPr>
        <w:pStyle w:val="Prrafodelista"/>
        <w:numPr>
          <w:ilvl w:val="0"/>
          <w:numId w:val="3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Ejecutar los acuerdos de la asamblea;</w:t>
      </w:r>
    </w:p>
    <w:p w:rsidR="00CD7438" w:rsidRDefault="00CD7438" w:rsidP="00CD7438">
      <w:pPr>
        <w:pStyle w:val="Prrafodelista"/>
        <w:numPr>
          <w:ilvl w:val="0"/>
          <w:numId w:val="3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Representar judicial y extrajudicialmente a la organización, según lo dispuesto en el inciso segundo de artículo 4º, sin perjuicio de la representación que le corresponda al directorio, conforme a lo señalado en la letra e) </w:t>
      </w:r>
      <w:r w:rsidR="00454240">
        <w:rPr>
          <w:rFonts w:ascii="Century Gothic" w:hAnsi="Century Gothic"/>
          <w:lang w:val="es-ES"/>
        </w:rPr>
        <w:t xml:space="preserve">del artículo siguiente, y </w:t>
      </w:r>
    </w:p>
    <w:p w:rsidR="00454240" w:rsidRDefault="00454240" w:rsidP="00CD7438">
      <w:pPr>
        <w:pStyle w:val="Prrafodelista"/>
        <w:numPr>
          <w:ilvl w:val="0"/>
          <w:numId w:val="3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Rendir cuenta anualmente a la asamblea del manejo e inversión de los recursos que integran el patrimonio de la organización y del funcionamiento general de ésta durante el año precedente.</w:t>
      </w:r>
    </w:p>
    <w:p w:rsidR="00454240" w:rsidRDefault="00454240" w:rsidP="00454240">
      <w:pPr>
        <w:ind w:left="360"/>
        <w:rPr>
          <w:rFonts w:ascii="Century Gothic" w:hAnsi="Century Gothic"/>
          <w:lang w:val="es-ES"/>
        </w:rPr>
      </w:pPr>
      <w:r w:rsidRPr="00454240">
        <w:rPr>
          <w:rFonts w:ascii="Century Gothic" w:hAnsi="Century Gothic"/>
          <w:lang w:val="es-ES"/>
        </w:rPr>
        <w:t>Lo anterior, se entiende sin perjuicio</w:t>
      </w:r>
      <w:r>
        <w:rPr>
          <w:rFonts w:ascii="Century Gothic" w:hAnsi="Century Gothic"/>
          <w:lang w:val="es-ES"/>
        </w:rPr>
        <w:t xml:space="preserve"> de las facultades que sobre las materias indicadas le corresponda al directorio, o a la asamblea, según lo exijan la ley o los estatutos.</w:t>
      </w:r>
    </w:p>
    <w:p w:rsidR="00454240" w:rsidRDefault="00454240" w:rsidP="00454240">
      <w:pPr>
        <w:ind w:left="360"/>
        <w:rPr>
          <w:rFonts w:ascii="Century Gothic" w:hAnsi="Century Gothic"/>
          <w:lang w:val="es-ES"/>
        </w:rPr>
      </w:pPr>
    </w:p>
    <w:p w:rsidR="00454240" w:rsidRDefault="00454240" w:rsidP="00454240">
      <w:pPr>
        <w:ind w:left="360"/>
        <w:rPr>
          <w:rFonts w:ascii="Century Gothic" w:hAnsi="Century Gothic"/>
          <w:lang w:val="es-ES"/>
        </w:rPr>
      </w:pPr>
      <w:r w:rsidRPr="00454240">
        <w:rPr>
          <w:rFonts w:ascii="Century Gothic" w:hAnsi="Century Gothic"/>
          <w:b/>
          <w:lang w:val="es-ES"/>
        </w:rPr>
        <w:t>Artículo 23:</w:t>
      </w:r>
      <w:r>
        <w:rPr>
          <w:rFonts w:ascii="Century Gothic" w:hAnsi="Century Gothic"/>
          <w:lang w:val="es-ES"/>
        </w:rPr>
        <w:t xml:space="preserve"> Los miembros del directorio serán asimismo civilmente responsables hasta de la culpa leve en el ejercicio de las competencias que sobre administración les correspondan</w:t>
      </w:r>
      <w:r w:rsidR="005F614C">
        <w:rPr>
          <w:rFonts w:ascii="Century Gothic" w:hAnsi="Century Gothic"/>
          <w:lang w:val="es-ES"/>
        </w:rPr>
        <w:t>, no obstante la responsabilidad penal que pudiere afectarles.</w:t>
      </w:r>
    </w:p>
    <w:p w:rsidR="005F614C" w:rsidRDefault="005F614C" w:rsidP="00454240">
      <w:pPr>
        <w:ind w:left="360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El directorio tendrá las siguientes atribuciones:</w:t>
      </w:r>
    </w:p>
    <w:p w:rsidR="005F614C" w:rsidRDefault="005F614C" w:rsidP="005F614C">
      <w:pPr>
        <w:pStyle w:val="Prrafodelista"/>
        <w:numPr>
          <w:ilvl w:val="0"/>
          <w:numId w:val="4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Requerir al presidente, por lo menos dos de sus miembros, la citación a asamblea general extraordinaria;</w:t>
      </w:r>
    </w:p>
    <w:p w:rsidR="005F614C" w:rsidRDefault="005F614C" w:rsidP="005F614C">
      <w:pPr>
        <w:pStyle w:val="Prrafodelista"/>
        <w:numPr>
          <w:ilvl w:val="0"/>
          <w:numId w:val="4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Proponer a la asamblea, en el mes de marzo, el plan anual de actividades y el presupuesto de ingresos y gastos;</w:t>
      </w:r>
    </w:p>
    <w:p w:rsidR="005F614C" w:rsidRDefault="005F614C" w:rsidP="005F614C">
      <w:pPr>
        <w:pStyle w:val="Prrafodelista"/>
        <w:numPr>
          <w:ilvl w:val="0"/>
          <w:numId w:val="4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Colaborar con el presidente en la ejecución  de los acuerdos de la asamblea;</w:t>
      </w:r>
    </w:p>
    <w:p w:rsidR="00EA5208" w:rsidRDefault="005F614C" w:rsidP="00EA5208">
      <w:pPr>
        <w:pStyle w:val="Prrafodelista"/>
        <w:numPr>
          <w:ilvl w:val="0"/>
          <w:numId w:val="4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Colaborar con el presidente en la elaboración de la cuenta anual</w:t>
      </w:r>
      <w:r w:rsidR="00EA5208">
        <w:rPr>
          <w:rFonts w:ascii="Century Gothic" w:hAnsi="Century Gothic"/>
          <w:lang w:val="es-ES"/>
        </w:rPr>
        <w:t xml:space="preserve"> a la asamblea sobre el funcionamiento general de la organización, especialmente en lo referido al manejo e inversión de los recursos que integran su patrimonio;</w:t>
      </w:r>
    </w:p>
    <w:p w:rsidR="00EA5208" w:rsidRDefault="00EA5208" w:rsidP="00EA5208">
      <w:pPr>
        <w:pStyle w:val="Prrafodelista"/>
        <w:numPr>
          <w:ilvl w:val="0"/>
          <w:numId w:val="4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Representar a la organización en los casos en que expresamente lo exija la ley o los estatutos, sin perjuicio de lo dispuesto en el inciso segundo del artículo 4º, y</w:t>
      </w:r>
    </w:p>
    <w:p w:rsidR="00825457" w:rsidRPr="00EA5208" w:rsidRDefault="00EA5208" w:rsidP="008A76C8">
      <w:pPr>
        <w:pStyle w:val="Prrafodelista"/>
        <w:numPr>
          <w:ilvl w:val="0"/>
          <w:numId w:val="4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Concurrir con su acuerdo a las materias de su competencia que señale la Ley o los estatutos.</w:t>
      </w:r>
    </w:p>
    <w:p w:rsidR="00825457" w:rsidRDefault="00825457" w:rsidP="008A76C8">
      <w:pPr>
        <w:rPr>
          <w:rFonts w:ascii="Century Gothic" w:hAnsi="Century Gothic"/>
          <w:lang w:val="es-ES"/>
        </w:rPr>
      </w:pPr>
    </w:p>
    <w:p w:rsidR="00DA4DE0" w:rsidRPr="00DA4DE0" w:rsidRDefault="00DA4DE0" w:rsidP="008A76C8">
      <w:pPr>
        <w:rPr>
          <w:rFonts w:ascii="Century Gothic" w:hAnsi="Century Gothic"/>
          <w:b/>
          <w:lang w:val="es-ES"/>
        </w:rPr>
      </w:pPr>
      <w:r w:rsidRPr="00DA4DE0">
        <w:rPr>
          <w:rFonts w:ascii="Century Gothic" w:hAnsi="Century Gothic"/>
          <w:b/>
          <w:lang w:val="es-ES"/>
        </w:rPr>
        <w:t>Del Patrimonio</w:t>
      </w:r>
    </w:p>
    <w:p w:rsidR="00E35BCB" w:rsidRDefault="00E35BCB" w:rsidP="00E5762F">
      <w:pPr>
        <w:rPr>
          <w:rFonts w:ascii="Century Gothic" w:hAnsi="Century Gothic"/>
          <w:b/>
          <w:lang w:val="es-ES"/>
        </w:rPr>
      </w:pPr>
    </w:p>
    <w:p w:rsidR="00CB7D3F" w:rsidRDefault="00873EE6" w:rsidP="00E5762F">
      <w:pPr>
        <w:rPr>
          <w:rFonts w:ascii="Century Gothic" w:hAnsi="Century Gothic"/>
          <w:lang w:val="es-ES"/>
        </w:rPr>
      </w:pPr>
      <w:r w:rsidRPr="00873EE6">
        <w:rPr>
          <w:rFonts w:ascii="Century Gothic" w:hAnsi="Century Gothic"/>
          <w:b/>
          <w:lang w:val="es-ES"/>
        </w:rPr>
        <w:t>Artículo 31:</w:t>
      </w:r>
      <w:r>
        <w:rPr>
          <w:rFonts w:ascii="Century Gothic" w:hAnsi="Century Gothic"/>
          <w:lang w:val="es-ES"/>
        </w:rPr>
        <w:t xml:space="preserve"> Los fondos de las juntas de vecinos y de las demás organizaciones comunitarias deberán mantenerse en bancos o instituciones financieras legalmente reconocidos, a nombre de la respectiva organización.</w:t>
      </w:r>
    </w:p>
    <w:p w:rsidR="00873EE6" w:rsidRDefault="00873EE6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No podrán mantenerse en caja o en dinero efectivo una suma superior a dos unidades tributarias mensuales.</w:t>
      </w:r>
    </w:p>
    <w:p w:rsidR="00873EE6" w:rsidRDefault="00873EE6" w:rsidP="00E5762F">
      <w:pPr>
        <w:rPr>
          <w:rFonts w:ascii="Century Gothic" w:hAnsi="Century Gothic"/>
          <w:lang w:val="es-ES"/>
        </w:rPr>
      </w:pPr>
    </w:p>
    <w:p w:rsidR="00873EE6" w:rsidRDefault="00873EE6" w:rsidP="00E5762F">
      <w:pPr>
        <w:rPr>
          <w:rFonts w:ascii="Century Gothic" w:hAnsi="Century Gothic"/>
          <w:lang w:val="es-ES"/>
        </w:rPr>
      </w:pPr>
      <w:r w:rsidRPr="00236173">
        <w:rPr>
          <w:rFonts w:ascii="Century Gothic" w:hAnsi="Century Gothic"/>
          <w:b/>
          <w:lang w:val="es-ES"/>
        </w:rPr>
        <w:t>Artículo 32:</w:t>
      </w:r>
      <w:r>
        <w:rPr>
          <w:rFonts w:ascii="Century Gothic" w:hAnsi="Century Gothic"/>
          <w:lang w:val="es-ES"/>
        </w:rPr>
        <w:t xml:space="preserve"> Las organizaciones comunitarias deberán confeccionar anualmente un balance o una cuenta de resultados, según el sistema contable con que operen, y </w:t>
      </w:r>
      <w:r>
        <w:rPr>
          <w:rFonts w:ascii="Century Gothic" w:hAnsi="Century Gothic"/>
          <w:lang w:val="es-ES"/>
        </w:rPr>
        <w:lastRenderedPageBreak/>
        <w:t>someterlos a la aprobación de la asamblea. El incumplimiento de esta obligación será causal de censura para todo el directorio</w:t>
      </w:r>
      <w:r w:rsidR="00236173">
        <w:rPr>
          <w:rFonts w:ascii="Century Gothic" w:hAnsi="Century Gothic"/>
          <w:lang w:val="es-ES"/>
        </w:rPr>
        <w:t xml:space="preserve"> de la organización.</w:t>
      </w:r>
    </w:p>
    <w:p w:rsidR="00236173" w:rsidRDefault="0023617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La asamblea general elegirá anualmente la comisión fiscalizadora de finanzas, que estará compuesta por tres miembros,  a la cual corresponderá revisar las cuentas e informar a la asamblea general sobre el balance o cuenta de resultados, inventario y contabilidad de la organización comunitaria.</w:t>
      </w:r>
    </w:p>
    <w:p w:rsidR="00EA5208" w:rsidRDefault="00EA5208" w:rsidP="00E5762F">
      <w:pPr>
        <w:rPr>
          <w:rFonts w:ascii="Century Gothic" w:hAnsi="Century Gothic"/>
          <w:lang w:val="es-ES"/>
        </w:rPr>
      </w:pPr>
    </w:p>
    <w:p w:rsidR="00E35BCB" w:rsidRDefault="00E35BCB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Por otra parte, debo señalar a Uds.</w:t>
      </w:r>
      <w:r w:rsidR="009F75E6">
        <w:rPr>
          <w:rFonts w:ascii="Century Gothic" w:hAnsi="Century Gothic"/>
          <w:lang w:val="es-ES"/>
        </w:rPr>
        <w:t>,</w:t>
      </w:r>
      <w:r>
        <w:rPr>
          <w:rFonts w:ascii="Century Gothic" w:hAnsi="Century Gothic"/>
          <w:lang w:val="es-ES"/>
        </w:rPr>
        <w:t xml:space="preserve"> que por efectos de la Ley 20.500 de 2011</w:t>
      </w:r>
      <w:r w:rsidR="001564A9">
        <w:rPr>
          <w:rFonts w:ascii="Century Gothic" w:hAnsi="Century Gothic"/>
          <w:lang w:val="es-ES"/>
        </w:rPr>
        <w:t>, que introdujo modificaciones a la Ley 19.418</w:t>
      </w:r>
      <w:r>
        <w:rPr>
          <w:rFonts w:ascii="Century Gothic" w:hAnsi="Century Gothic"/>
          <w:lang w:val="es-ES"/>
        </w:rPr>
        <w:t>, l</w:t>
      </w:r>
      <w:r w:rsidR="001564A9">
        <w:rPr>
          <w:rFonts w:ascii="Century Gothic" w:hAnsi="Century Gothic"/>
          <w:lang w:val="es-ES"/>
        </w:rPr>
        <w:t>o</w:t>
      </w:r>
      <w:r>
        <w:rPr>
          <w:rFonts w:ascii="Century Gothic" w:hAnsi="Century Gothic"/>
          <w:lang w:val="es-ES"/>
        </w:rPr>
        <w:t>s</w:t>
      </w:r>
      <w:r w:rsidR="001564A9">
        <w:rPr>
          <w:rFonts w:ascii="Century Gothic" w:hAnsi="Century Gothic"/>
          <w:lang w:val="es-ES"/>
        </w:rPr>
        <w:t xml:space="preserve"> Certificados de Vigencia de las Organizaciones Comunitarias, en principio serán emitidos a contar del mes de agosto del presente año por el Servicio Registro Civil e Identificación, con la información que el municipio deberá proporcionar cada seis meses</w:t>
      </w:r>
      <w:r w:rsidR="00F57037">
        <w:rPr>
          <w:rFonts w:ascii="Century Gothic" w:hAnsi="Century Gothic"/>
          <w:lang w:val="es-ES"/>
        </w:rPr>
        <w:t xml:space="preserve"> a dicho servicio; </w:t>
      </w:r>
      <w:r w:rsidR="009F75E6">
        <w:rPr>
          <w:rFonts w:ascii="Century Gothic" w:hAnsi="Century Gothic"/>
          <w:lang w:val="es-ES"/>
        </w:rPr>
        <w:t xml:space="preserve">por tanto </w:t>
      </w:r>
      <w:r w:rsidR="00F57037">
        <w:rPr>
          <w:rFonts w:ascii="Century Gothic" w:hAnsi="Century Gothic"/>
          <w:lang w:val="es-ES"/>
        </w:rPr>
        <w:t xml:space="preserve">es de suma importancia que </w:t>
      </w:r>
      <w:r w:rsidR="001564A9">
        <w:rPr>
          <w:rFonts w:ascii="Century Gothic" w:hAnsi="Century Gothic"/>
          <w:lang w:val="es-ES"/>
        </w:rPr>
        <w:t xml:space="preserve">las organizaciones </w:t>
      </w:r>
      <w:r w:rsidR="00F57037">
        <w:rPr>
          <w:rFonts w:ascii="Century Gothic" w:hAnsi="Century Gothic"/>
          <w:lang w:val="es-ES"/>
        </w:rPr>
        <w:t>se</w:t>
      </w:r>
      <w:r w:rsidR="001564A9">
        <w:rPr>
          <w:rFonts w:ascii="Century Gothic" w:hAnsi="Century Gothic"/>
          <w:lang w:val="es-ES"/>
        </w:rPr>
        <w:t xml:space="preserve"> encuentren con su documentación al día en esta Secretaría Municipal, por lo que deberá</w:t>
      </w:r>
      <w:r w:rsidR="00F57037">
        <w:rPr>
          <w:rFonts w:ascii="Century Gothic" w:hAnsi="Century Gothic"/>
          <w:lang w:val="es-ES"/>
        </w:rPr>
        <w:t>n</w:t>
      </w:r>
      <w:r w:rsidR="001564A9">
        <w:rPr>
          <w:rFonts w:ascii="Century Gothic" w:hAnsi="Century Gothic"/>
          <w:lang w:val="es-ES"/>
        </w:rPr>
        <w:t xml:space="preserve"> observar</w:t>
      </w:r>
      <w:r w:rsidR="00F57037">
        <w:rPr>
          <w:rFonts w:ascii="Century Gothic" w:hAnsi="Century Gothic"/>
          <w:lang w:val="es-ES"/>
        </w:rPr>
        <w:t xml:space="preserve"> particularmente lo indicado en el Artículo 15 de la Ley 19.418</w:t>
      </w:r>
      <w:r w:rsidR="001564A9">
        <w:rPr>
          <w:rFonts w:ascii="Century Gothic" w:hAnsi="Century Gothic"/>
          <w:lang w:val="es-ES"/>
        </w:rPr>
        <w:t>.</w:t>
      </w:r>
      <w:r>
        <w:rPr>
          <w:rFonts w:ascii="Century Gothic" w:hAnsi="Century Gothic"/>
          <w:lang w:val="es-ES"/>
        </w:rPr>
        <w:t xml:space="preserve">   </w:t>
      </w:r>
    </w:p>
    <w:p w:rsidR="00E35BCB" w:rsidRDefault="00E35BCB" w:rsidP="00E5762F">
      <w:pPr>
        <w:rPr>
          <w:rFonts w:ascii="Century Gothic" w:hAnsi="Century Gothic"/>
          <w:lang w:val="es-ES"/>
        </w:rPr>
      </w:pPr>
    </w:p>
    <w:p w:rsidR="00E5762F" w:rsidRDefault="00E5762F" w:rsidP="00070B28">
      <w:pPr>
        <w:ind w:left="284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Atentamente,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7A02A1" w:rsidRDefault="007A02A1" w:rsidP="00E5762F">
      <w:pPr>
        <w:rPr>
          <w:rFonts w:ascii="Century Gothic" w:hAnsi="Century Gothic"/>
          <w:lang w:val="es-ES"/>
        </w:rPr>
      </w:pPr>
    </w:p>
    <w:p w:rsidR="007A02A1" w:rsidRDefault="007A02A1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FA096E" w:rsidRDefault="00FA096E" w:rsidP="00E5762F">
      <w:pPr>
        <w:rPr>
          <w:rFonts w:ascii="Century Gothic" w:hAnsi="Century Gothic"/>
          <w:lang w:val="es-ES"/>
        </w:rPr>
      </w:pPr>
    </w:p>
    <w:p w:rsidR="00FA096E" w:rsidRDefault="00FA096E" w:rsidP="00E5762F">
      <w:pPr>
        <w:rPr>
          <w:rFonts w:ascii="Century Gothic" w:hAnsi="Century Gothic"/>
          <w:lang w:val="es-ES"/>
        </w:rPr>
      </w:pPr>
    </w:p>
    <w:p w:rsidR="00401D45" w:rsidRDefault="00401D45" w:rsidP="00E5762F">
      <w:pPr>
        <w:rPr>
          <w:rFonts w:ascii="Century Gothic" w:hAnsi="Century Gothic"/>
          <w:lang w:val="es-ES"/>
        </w:rPr>
      </w:pPr>
    </w:p>
    <w:p w:rsidR="00401D45" w:rsidRPr="007A02A1" w:rsidRDefault="00401D45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7A02A1">
        <w:rPr>
          <w:rFonts w:ascii="Century Gothic" w:hAnsi="Century Gothic"/>
          <w:b/>
          <w:lang w:val="es-ES"/>
        </w:rPr>
        <w:t>Leonel Bustamante González</w:t>
      </w:r>
    </w:p>
    <w:p w:rsidR="00401D45" w:rsidRPr="007A02A1" w:rsidRDefault="00401D45" w:rsidP="00E5762F">
      <w:pPr>
        <w:rPr>
          <w:rFonts w:ascii="Century Gothic" w:hAnsi="Century Gothic"/>
          <w:b/>
          <w:lang w:val="es-ES"/>
        </w:rPr>
      </w:pPr>
      <w:r w:rsidRPr="007A02A1">
        <w:rPr>
          <w:rFonts w:ascii="Century Gothic" w:hAnsi="Century Gothic"/>
          <w:b/>
          <w:lang w:val="es-ES"/>
        </w:rPr>
        <w:tab/>
      </w:r>
      <w:r w:rsidRPr="007A02A1">
        <w:rPr>
          <w:rFonts w:ascii="Century Gothic" w:hAnsi="Century Gothic"/>
          <w:b/>
          <w:lang w:val="es-ES"/>
        </w:rPr>
        <w:tab/>
      </w:r>
      <w:r w:rsidRPr="007A02A1">
        <w:rPr>
          <w:rFonts w:ascii="Century Gothic" w:hAnsi="Century Gothic"/>
          <w:b/>
          <w:lang w:val="es-ES"/>
        </w:rPr>
        <w:tab/>
      </w:r>
      <w:r w:rsidRPr="007A02A1">
        <w:rPr>
          <w:rFonts w:ascii="Century Gothic" w:hAnsi="Century Gothic"/>
          <w:b/>
          <w:lang w:val="es-ES"/>
        </w:rPr>
        <w:tab/>
      </w:r>
      <w:r w:rsidRPr="007A02A1">
        <w:rPr>
          <w:rFonts w:ascii="Century Gothic" w:hAnsi="Century Gothic"/>
          <w:b/>
          <w:lang w:val="es-ES"/>
        </w:rPr>
        <w:tab/>
      </w:r>
      <w:r w:rsidRPr="007A02A1">
        <w:rPr>
          <w:rFonts w:ascii="Century Gothic" w:hAnsi="Century Gothic"/>
          <w:b/>
          <w:lang w:val="es-ES"/>
        </w:rPr>
        <w:tab/>
        <w:t xml:space="preserve">      Secretario Municipal</w:t>
      </w:r>
    </w:p>
    <w:p w:rsidR="00401D45" w:rsidRDefault="00401D45" w:rsidP="00E5762F">
      <w:pPr>
        <w:rPr>
          <w:rFonts w:ascii="Century Gothic" w:hAnsi="Century Gothic"/>
          <w:lang w:val="es-ES"/>
        </w:rPr>
      </w:pPr>
    </w:p>
    <w:p w:rsidR="00401D45" w:rsidRDefault="00401D45" w:rsidP="00E5762F">
      <w:pPr>
        <w:rPr>
          <w:rFonts w:ascii="Century Gothic" w:hAnsi="Century Gothic"/>
          <w:lang w:val="es-ES"/>
        </w:rPr>
      </w:pPr>
    </w:p>
    <w:p w:rsidR="00401D45" w:rsidRDefault="00401D45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proofErr w:type="gramStart"/>
      <w:r>
        <w:rPr>
          <w:rFonts w:ascii="Century Gothic" w:hAnsi="Century Gothic"/>
          <w:lang w:val="es-ES"/>
        </w:rPr>
        <w:t>c.c</w:t>
      </w:r>
      <w:proofErr w:type="gramEnd"/>
      <w:r>
        <w:rPr>
          <w:rFonts w:ascii="Century Gothic" w:hAnsi="Century Gothic"/>
          <w:lang w:val="es-ES"/>
        </w:rPr>
        <w:t>.</w:t>
      </w:r>
    </w:p>
    <w:p w:rsidR="00E5762F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1.- Sr</w:t>
      </w:r>
      <w:r w:rsidR="00D75496">
        <w:rPr>
          <w:rFonts w:ascii="Century Gothic" w:hAnsi="Century Gothic"/>
          <w:lang w:val="es-ES"/>
        </w:rPr>
        <w:t>as</w:t>
      </w:r>
      <w:r w:rsidR="008C58A1">
        <w:rPr>
          <w:rFonts w:ascii="Century Gothic" w:hAnsi="Century Gothic"/>
          <w:lang w:val="es-ES"/>
        </w:rPr>
        <w:t xml:space="preserve">. </w:t>
      </w:r>
      <w:proofErr w:type="gramStart"/>
      <w:r w:rsidR="008C58A1">
        <w:rPr>
          <w:rFonts w:ascii="Century Gothic" w:hAnsi="Century Gothic"/>
          <w:lang w:val="es-ES"/>
        </w:rPr>
        <w:t>y</w:t>
      </w:r>
      <w:proofErr w:type="gramEnd"/>
      <w:r w:rsidR="00F57037">
        <w:rPr>
          <w:rFonts w:ascii="Century Gothic" w:hAnsi="Century Gothic"/>
          <w:lang w:val="es-ES"/>
        </w:rPr>
        <w:t xml:space="preserve"> </w:t>
      </w:r>
      <w:r w:rsidR="008C58A1">
        <w:rPr>
          <w:rFonts w:ascii="Century Gothic" w:hAnsi="Century Gothic"/>
          <w:lang w:val="es-ES"/>
        </w:rPr>
        <w:t xml:space="preserve">Sres. Dirigentes </w:t>
      </w:r>
      <w:r w:rsidR="008975CD">
        <w:rPr>
          <w:rFonts w:ascii="Century Gothic" w:hAnsi="Century Gothic"/>
          <w:lang w:val="es-ES"/>
        </w:rPr>
        <w:t xml:space="preserve">y Socios de </w:t>
      </w:r>
      <w:r w:rsidR="008C58A1">
        <w:rPr>
          <w:rFonts w:ascii="Century Gothic" w:hAnsi="Century Gothic"/>
          <w:lang w:val="es-ES"/>
        </w:rPr>
        <w:t>Organizaciones Comunitarias.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8C58A1">
        <w:rPr>
          <w:rFonts w:ascii="Century Gothic" w:hAnsi="Century Gothic"/>
          <w:lang w:val="es-ES"/>
        </w:rPr>
        <w:t>Sra. Pastora Valderrama V.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3.- </w:t>
      </w:r>
      <w:r w:rsidR="008C58A1">
        <w:rPr>
          <w:rFonts w:ascii="Century Gothic" w:hAnsi="Century Gothic"/>
          <w:lang w:val="es-ES"/>
        </w:rPr>
        <w:t>Archivo</w:t>
      </w:r>
      <w:r w:rsidR="00963663">
        <w:rPr>
          <w:rFonts w:ascii="Century Gothic" w:hAnsi="Century Gothic"/>
          <w:lang w:val="es-ES"/>
        </w:rPr>
        <w:t xml:space="preserve"> Secretaría Municipal.</w:t>
      </w:r>
    </w:p>
    <w:p w:rsidR="00E5762F" w:rsidRPr="00903079" w:rsidRDefault="008C58A1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 </w:t>
      </w:r>
      <w:r w:rsidR="001C6463">
        <w:rPr>
          <w:rFonts w:ascii="Century Gothic" w:hAnsi="Century Gothic"/>
          <w:lang w:val="es-ES"/>
        </w:rPr>
        <w:t>LBG/</w:t>
      </w:r>
      <w:proofErr w:type="spellStart"/>
      <w:r w:rsidR="001C6463">
        <w:rPr>
          <w:rFonts w:ascii="Century Gothic" w:hAnsi="Century Gothic"/>
          <w:lang w:val="es-ES"/>
        </w:rPr>
        <w:t>lbg</w:t>
      </w:r>
      <w:proofErr w:type="spellEnd"/>
      <w:r w:rsidR="00E5762F">
        <w:rPr>
          <w:rFonts w:ascii="Century Gothic" w:hAnsi="Century Gothic"/>
          <w:lang w:val="es-ES"/>
        </w:rPr>
        <w:t>.</w:t>
      </w:r>
    </w:p>
    <w:sectPr w:rsidR="00E5762F" w:rsidRPr="00903079" w:rsidSect="0008618F">
      <w:headerReference w:type="default" r:id="rId10"/>
      <w:footerReference w:type="even" r:id="rId11"/>
      <w:footerReference w:type="default" r:id="rId12"/>
      <w:pgSz w:w="12240" w:h="15840" w:code="1"/>
      <w:pgMar w:top="1694" w:right="1418" w:bottom="1418" w:left="1701" w:header="0" w:footer="7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71" w:rsidRDefault="00F37D71" w:rsidP="004651FB">
      <w:r>
        <w:separator/>
      </w:r>
    </w:p>
  </w:endnote>
  <w:endnote w:type="continuationSeparator" w:id="0">
    <w:p w:rsidR="00F37D71" w:rsidRDefault="00F37D71" w:rsidP="0046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6746AE" w:rsidP="00052A96">
    <w:pPr>
      <w:pStyle w:val="Piedepgina"/>
      <w:rPr>
        <w:sz w:val="19"/>
        <w:szCs w:val="19"/>
      </w:rPr>
    </w:pPr>
    <w:r>
      <w:rPr>
        <w:sz w:val="19"/>
        <w:szCs w:val="19"/>
      </w:rPr>
      <w:pict>
        <v:line id="_x0000_s1025" style="position:absolute;left:0;text-align:left;z-index:251658240" from="-6.75pt,6.45pt" to="453.75pt,6.45pt">
          <w10:wrap side="left"/>
        </v:line>
      </w:pict>
    </w:r>
    <w:r w:rsidR="00052A96">
      <w:rPr>
        <w:sz w:val="19"/>
        <w:szCs w:val="19"/>
      </w:rPr>
      <w:t>--</w:t>
    </w:r>
    <w:r w:rsidR="00052A96">
      <w:rPr>
        <w:sz w:val="19"/>
        <w:szCs w:val="19"/>
      </w:rPr>
      <w:tab/>
      <w:t>---------</w:t>
    </w:r>
  </w:p>
  <w:p w:rsidR="004651FB" w:rsidRPr="007933FC" w:rsidRDefault="004651FB" w:rsidP="00CA4ABF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="Century Gothic" w:hAnsi="Century Gothic"/>
        <w:sz w:val="18"/>
        <w:szCs w:val="18"/>
      </w:rPr>
    </w:pPr>
    <w:r w:rsidRPr="007933FC">
      <w:rPr>
        <w:rFonts w:ascii="Century Gothic" w:hAnsi="Century Gothic"/>
        <w:sz w:val="18"/>
        <w:szCs w:val="18"/>
      </w:rPr>
      <w:t>Ilustre Municipalidad de Casablanca/Av. Constitución 111 /Fono 32.2277400/www.e-casablanca.cl</w:t>
    </w:r>
    <w:r w:rsidR="00052A96" w:rsidRPr="007933FC">
      <w:rPr>
        <w:rFonts w:ascii="Century Gothic" w:hAnsi="Century Gothic"/>
        <w:sz w:val="18"/>
        <w:szCs w:val="18"/>
      </w:rPr>
      <w:t xml:space="preserve">   </w:t>
    </w:r>
  </w:p>
  <w:p w:rsidR="00052A96" w:rsidRPr="00052A96" w:rsidRDefault="00052A96" w:rsidP="00CA4ABF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="Century Gothic" w:hAnsi="Century Gothic"/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71" w:rsidRDefault="00F37D71" w:rsidP="004651FB">
      <w:r>
        <w:separator/>
      </w:r>
    </w:p>
  </w:footnote>
  <w:footnote w:type="continuationSeparator" w:id="0">
    <w:p w:rsidR="00F37D71" w:rsidRDefault="00F37D71" w:rsidP="00465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4651FB">
    <w:pPr>
      <w:pStyle w:val="Encabezado"/>
    </w:pPr>
  </w:p>
  <w:p w:rsidR="004651FB" w:rsidRDefault="004651FB">
    <w:pPr>
      <w:pStyle w:val="Encabezado"/>
    </w:pPr>
  </w:p>
  <w:p w:rsidR="004651FB" w:rsidRDefault="008A76C8">
    <w:pPr>
      <w:pStyle w:val="Encabezado"/>
    </w:pPr>
    <w:r w:rsidRPr="008A76C8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A5A"/>
    <w:multiLevelType w:val="hybridMultilevel"/>
    <w:tmpl w:val="3A2E79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931DA"/>
    <w:multiLevelType w:val="hybridMultilevel"/>
    <w:tmpl w:val="6350901C"/>
    <w:lvl w:ilvl="0" w:tplc="C010CD7A">
      <w:start w:val="1"/>
      <w:numFmt w:val="decimal"/>
      <w:lvlText w:val="%1."/>
      <w:lvlJc w:val="left"/>
      <w:pPr>
        <w:ind w:left="5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7529C"/>
    <w:multiLevelType w:val="hybridMultilevel"/>
    <w:tmpl w:val="2EA86E9A"/>
    <w:lvl w:ilvl="0" w:tplc="710AFC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036B03"/>
    <w:multiLevelType w:val="hybridMultilevel"/>
    <w:tmpl w:val="18F83F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2639"/>
    <w:multiLevelType w:val="hybridMultilevel"/>
    <w:tmpl w:val="0A8A8D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51FB"/>
    <w:rsid w:val="0000166E"/>
    <w:rsid w:val="00006AEC"/>
    <w:rsid w:val="0003027F"/>
    <w:rsid w:val="00052A96"/>
    <w:rsid w:val="000606D7"/>
    <w:rsid w:val="00063DEB"/>
    <w:rsid w:val="00070B28"/>
    <w:rsid w:val="0008618F"/>
    <w:rsid w:val="000E3B89"/>
    <w:rsid w:val="001564A9"/>
    <w:rsid w:val="00177C0C"/>
    <w:rsid w:val="00181984"/>
    <w:rsid w:val="0018251C"/>
    <w:rsid w:val="001C6463"/>
    <w:rsid w:val="001C6835"/>
    <w:rsid w:val="002131A1"/>
    <w:rsid w:val="0023437D"/>
    <w:rsid w:val="00236173"/>
    <w:rsid w:val="0024336D"/>
    <w:rsid w:val="00291ECD"/>
    <w:rsid w:val="002D25DF"/>
    <w:rsid w:val="002F3062"/>
    <w:rsid w:val="00360F78"/>
    <w:rsid w:val="00371B14"/>
    <w:rsid w:val="0038475B"/>
    <w:rsid w:val="0039339E"/>
    <w:rsid w:val="003A41A8"/>
    <w:rsid w:val="003E529D"/>
    <w:rsid w:val="00401D45"/>
    <w:rsid w:val="00407663"/>
    <w:rsid w:val="00424948"/>
    <w:rsid w:val="00454240"/>
    <w:rsid w:val="004651FB"/>
    <w:rsid w:val="00483BB6"/>
    <w:rsid w:val="00486A1D"/>
    <w:rsid w:val="004907B5"/>
    <w:rsid w:val="0049154E"/>
    <w:rsid w:val="004941C5"/>
    <w:rsid w:val="004D4A78"/>
    <w:rsid w:val="004E07BF"/>
    <w:rsid w:val="005618BB"/>
    <w:rsid w:val="00576BC1"/>
    <w:rsid w:val="005D2D1A"/>
    <w:rsid w:val="005D3C0D"/>
    <w:rsid w:val="005E7252"/>
    <w:rsid w:val="005F614C"/>
    <w:rsid w:val="00605F07"/>
    <w:rsid w:val="0063751D"/>
    <w:rsid w:val="006700E3"/>
    <w:rsid w:val="006746AE"/>
    <w:rsid w:val="006A2505"/>
    <w:rsid w:val="006B0ABB"/>
    <w:rsid w:val="006E1128"/>
    <w:rsid w:val="006E7722"/>
    <w:rsid w:val="006F516B"/>
    <w:rsid w:val="007267C4"/>
    <w:rsid w:val="007933FC"/>
    <w:rsid w:val="00794BAA"/>
    <w:rsid w:val="00797E53"/>
    <w:rsid w:val="007A02A1"/>
    <w:rsid w:val="007A1F97"/>
    <w:rsid w:val="00825457"/>
    <w:rsid w:val="00863684"/>
    <w:rsid w:val="00873EE6"/>
    <w:rsid w:val="008748BC"/>
    <w:rsid w:val="008975CD"/>
    <w:rsid w:val="008A294E"/>
    <w:rsid w:val="008A76C8"/>
    <w:rsid w:val="008B1978"/>
    <w:rsid w:val="008C58A1"/>
    <w:rsid w:val="008D13A0"/>
    <w:rsid w:val="008D3A79"/>
    <w:rsid w:val="008E4284"/>
    <w:rsid w:val="00903079"/>
    <w:rsid w:val="00925233"/>
    <w:rsid w:val="00936C45"/>
    <w:rsid w:val="00937F84"/>
    <w:rsid w:val="00963663"/>
    <w:rsid w:val="00981D68"/>
    <w:rsid w:val="00983874"/>
    <w:rsid w:val="009A5B36"/>
    <w:rsid w:val="009E68AF"/>
    <w:rsid w:val="009F5F98"/>
    <w:rsid w:val="009F75E6"/>
    <w:rsid w:val="00A566BF"/>
    <w:rsid w:val="00A70F6E"/>
    <w:rsid w:val="00A91989"/>
    <w:rsid w:val="00AA6896"/>
    <w:rsid w:val="00AF2CF0"/>
    <w:rsid w:val="00B06796"/>
    <w:rsid w:val="00B112E3"/>
    <w:rsid w:val="00B16208"/>
    <w:rsid w:val="00B31423"/>
    <w:rsid w:val="00B3340C"/>
    <w:rsid w:val="00B56E4D"/>
    <w:rsid w:val="00B75B14"/>
    <w:rsid w:val="00BD719F"/>
    <w:rsid w:val="00C1449F"/>
    <w:rsid w:val="00C43433"/>
    <w:rsid w:val="00CA4ABF"/>
    <w:rsid w:val="00CB14F0"/>
    <w:rsid w:val="00CB7D3F"/>
    <w:rsid w:val="00CD7438"/>
    <w:rsid w:val="00D5610F"/>
    <w:rsid w:val="00D56C1F"/>
    <w:rsid w:val="00D75496"/>
    <w:rsid w:val="00D76EDD"/>
    <w:rsid w:val="00DA4DE0"/>
    <w:rsid w:val="00DB6606"/>
    <w:rsid w:val="00DC7614"/>
    <w:rsid w:val="00DF48D4"/>
    <w:rsid w:val="00E03577"/>
    <w:rsid w:val="00E25B15"/>
    <w:rsid w:val="00E35BCB"/>
    <w:rsid w:val="00E3636A"/>
    <w:rsid w:val="00E5762F"/>
    <w:rsid w:val="00E96737"/>
    <w:rsid w:val="00EA5208"/>
    <w:rsid w:val="00EB6014"/>
    <w:rsid w:val="00EC4DA3"/>
    <w:rsid w:val="00ED153E"/>
    <w:rsid w:val="00EE399F"/>
    <w:rsid w:val="00EF7DEE"/>
    <w:rsid w:val="00F07FCC"/>
    <w:rsid w:val="00F37D71"/>
    <w:rsid w:val="00F57037"/>
    <w:rsid w:val="00F612AE"/>
    <w:rsid w:val="00F70593"/>
    <w:rsid w:val="00F85A79"/>
    <w:rsid w:val="00FA0139"/>
    <w:rsid w:val="00FA096E"/>
    <w:rsid w:val="00FA529D"/>
    <w:rsid w:val="00FB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1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1FB"/>
  </w:style>
  <w:style w:type="paragraph" w:styleId="Piedepgina">
    <w:name w:val="footer"/>
    <w:basedOn w:val="Normal"/>
    <w:link w:val="PiedepginaCar"/>
    <w:uiPriority w:val="99"/>
    <w:unhideWhenUsed/>
    <w:rsid w:val="004651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1FB"/>
  </w:style>
  <w:style w:type="paragraph" w:styleId="Textodeglobo">
    <w:name w:val="Balloon Text"/>
    <w:basedOn w:val="Normal"/>
    <w:link w:val="TextodegloboCar"/>
    <w:uiPriority w:val="99"/>
    <w:semiHidden/>
    <w:unhideWhenUsed/>
    <w:rsid w:val="004651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1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6C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66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casablanca.c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valderramav@e-casablanca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1395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20</cp:revision>
  <cp:lastPrinted>2012-05-30T17:21:00Z</cp:lastPrinted>
  <dcterms:created xsi:type="dcterms:W3CDTF">2012-05-30T14:29:00Z</dcterms:created>
  <dcterms:modified xsi:type="dcterms:W3CDTF">2012-05-30T19:58:00Z</dcterms:modified>
</cp:coreProperties>
</file>